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Формы и методы работы с детьми дошкольного возраста в соответствии с ФГОС ДО</w:t>
      </w:r>
    </w:p>
    <w:p>
      <w:pPr>
        <w:pStyle w:val="4"/>
        <w:rPr>
          <w:rFonts w:ascii="Times New Roman" w:hAnsi="Times New Roman" w:cs="Times New Roman"/>
          <w:sz w:val="28"/>
          <w:szCs w:val="28"/>
        </w:rPr>
      </w:pPr>
      <w:r>
        <w:rPr>
          <w:rFonts w:ascii="Times New Roman" w:hAnsi="Times New Roman" w:cs="Times New Roman"/>
          <w:sz w:val="28"/>
          <w:szCs w:val="28"/>
        </w:rPr>
        <w:t xml:space="preserve"> </w:t>
      </w:r>
    </w:p>
    <w:p>
      <w:pPr>
        <w:pStyle w:val="4"/>
        <w:rPr>
          <w:rFonts w:ascii="Times New Roman" w:hAnsi="Times New Roman" w:cs="Times New Roman"/>
          <w:sz w:val="28"/>
          <w:szCs w:val="28"/>
        </w:rPr>
      </w:pPr>
      <w:r>
        <w:rPr>
          <w:rFonts w:ascii="Times New Roman" w:hAnsi="Times New Roman" w:cs="Times New Roman"/>
          <w:sz w:val="28"/>
          <w:szCs w:val="28"/>
        </w:rPr>
        <w:t xml:space="preserve"> </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 В детском саду используются фронтальные, групповые, индивидуальные формы организованного обучения </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Индивидуальная форма</w:t>
      </w:r>
      <w:r>
        <w:rPr>
          <w:rFonts w:ascii="Times New Roman" w:hAnsi="Times New Roman" w:cs="Times New Roman"/>
          <w:sz w:val="28"/>
          <w:szCs w:val="28"/>
        </w:rPr>
        <w:t xml:space="preserve">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Групповая форма</w:t>
      </w:r>
      <w:r>
        <w:rPr>
          <w:rFonts w:ascii="Times New Roman" w:hAnsi="Times New Roman" w:cs="Times New Roman"/>
          <w:sz w:val="28"/>
          <w:szCs w:val="28"/>
        </w:rPr>
        <w:t xml:space="preserve"> 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Фронтальная форма</w:t>
      </w:r>
      <w:r>
        <w:rPr>
          <w:rFonts w:ascii="Times New Roman" w:hAnsi="Times New Roman" w:cs="Times New Roman"/>
          <w:sz w:val="28"/>
          <w:szCs w:val="28"/>
        </w:rPr>
        <w:t xml:space="preserve">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прогулка, которая состоит из: наблюдений за природой, окружающей жизнью; подвижных игр; труда в природе и на участке; самостоятельной игровой деятельности; экскурсии;</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игры: сюжетно-ролевые; дидактические игры; игры-драматизации; спортивные игры;</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дежурство детей: по столовой; на занятиях:</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труд: коллективный; хозяйственно-бытовой; в уголке природы; художественный;</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развлечения, праздники; экспериментирование; проектная деятельность; чтение художественной литературы; беседы; показ кукольного театра; вечера-досуги и др.</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В ДОО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предметно-игровая, трудовая, спортивная, продуктивная, общение, сюжетно-ролевые и другие игры, которые могут быть источником и средством обучения.</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Методы и приемы организации обучения. </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В дошкольном образовании используются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ДОО.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 Работа в детском саду ведется по следующим областям:</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-Речевое развитие;</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Обновление содержания образования требует от педагогов: применения новых современных форм работы с детьми; интегрированной образовательной деятельности; проектной деятельности (исследовательские, творческие проекты; ролево-игровые проекты; информационно-практико-ориентированные проекты; творческие проекты в детском саду); изготовление макетов; создание проблемной ситуации; использование игровых обучающих ситуаций, эвристических бесед, коллекционирования, различной творческой деятельности – изготовление панно, совместных коллажей, работа в мини-мастерской, организация творческих конкурсов, выставок и др.</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Одним из важных условий обновления содержания образования является новое информационно-ресурсное обеспечение образовательного процесса.        Под информационно-ресурсным обеспечением понимают образовательные ресурсы (любые образовательные материалы и средства, совокупность технологических средств, информационных и коммуникационных технологий: компьютеры, иное ИКТ-оборудование (мультимедийные доски, проекторы, коммуникационные каналы (телефон, Интернет), систему современных педагогических технологий, обеспечивающих образование в современной информационно образовательной среде. 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Игру, как метод обучения, люди используют давно. Игровая деятельность может использоваться в следующих случаях: а) в качестве самостоятельных технологий для освоения темы или раздела; б) как элементы более обширной технологии; в) в качестве занятия или его части (объяснения, закрепления). В коммуникативных играх предусмотрена работа в парах, группах больших и маленьких и целой группой, при этом участники должны иметь возможность свободно двигаться по комнате. Для таких игр создается предметно-пространственная среда или центры развития ребенка, с богатым мобильным, сменяемым материалом . Педагогический процесс не должен насаждать шаблонный подход к решению заданий, он должен уважать и развивать своеобразие индивидуального стиля каждого дошкольника.</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В основе обучающих игр, которые применяются на занятиях в ДОО, лежит принцип организации занятий в составе малых групп. Это позволяет включить в активную работу всех детей, организовать соревнование между командами, выработать умение трудиться в коллективе. Игровые ситуации помогают создать положительную установку на обучение и развитие, что является необходимой предпосылкой успешного усвоения материала. Воспитание строится с опорой на следующие виды деятельности: познавательную, игровую, творческую, коммуникативную.</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В результате у дошкольников в достаточной мере будут развиты нравственные нормы поведения, культура общения в коллективе, способность к сотрудничеству. Используя в работе игры, следует учитывать, что в них обязательно должны присутствовать два начала: учебно-познавательное и занимательное. Из широкого спектра методов и приемов работы с детьми в первую очередь используются те игровые занятия, которые позволяют в комплексе решать развивающие, воспитывающие и образовательные задачи.</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С введением нового ФГОС стал широко использовать такой метод работы с детьми как путешествие по «реке времени» (представление об историческом времени – от прошлого к настоящему). Его еще можно назвать «методом каталога». Суть метода заключается в следующем. Перед нами, как в фокусе, объект, который нужно усовершенствовать. На занятиях фантазирования дети дошкольного возраста играют в «Изобретателей». Изобретают предметы мебели, посуды, животных, овощи и фрукты, кондитерские изделия, елочные игрушки. Для выбора других объектов используются предметные картинки по 7-8 штук. Это создает атмосферу загадочности, еще больше заинтересовывает детей, концентрирует их внимание. В процессе занятий дети раскрепощаются, не боятся высказывать свои мысли, идеи. Дети старшего дошкольного возраста овладевают умением произвольно обозначать и замещать знаками различные явления, предметы, их признаки и свойства; а также умением произвольно разводить обозначаемое содержание и средства обозначения. Данные умения относятся к умениям детей использовать знаково-символические средства. И, наконец, дети овладевают методом творчества [53]. Создают новые оригинальные объекты, пытаются их нарисовать, испытывают радость, удовлетворение от умственных усилий. Гордятся результатами своего творчества, осваивают навыки культуры поведения (учатся относиться с терпением и пониманием к высказываниям другого человека, уважать чужое мнение и т.п.) [13].</w:t>
      </w:r>
    </w:p>
    <w:p>
      <w:pPr>
        <w:pStyle w:val="4"/>
        <w:jc w:val="both"/>
        <w:rPr>
          <w:rFonts w:ascii="Times New Roman" w:hAnsi="Times New Roman" w:cs="Times New Roman"/>
          <w:sz w:val="28"/>
          <w:szCs w:val="28"/>
        </w:rPr>
      </w:pPr>
    </w:p>
    <w:p>
      <w:pPr>
        <w:pStyle w:val="4"/>
        <w:jc w:val="both"/>
        <w:rPr>
          <w:rFonts w:ascii="Times New Roman" w:hAnsi="Times New Roman" w:cs="Times New Roman"/>
          <w:sz w:val="28"/>
          <w:szCs w:val="28"/>
        </w:rPr>
      </w:pPr>
      <w:r>
        <w:rPr>
          <w:rFonts w:ascii="Times New Roman" w:hAnsi="Times New Roman" w:cs="Times New Roman"/>
          <w:sz w:val="28"/>
          <w:szCs w:val="28"/>
        </w:rPr>
        <w:t xml:space="preserve">    Требования ФГОС ДО к условиям реализации программы исходят из того, что формы и методы работы с дошкольниками должны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Надо дать возможность каждому воспитаннику полноценно прожить период дошкольного детства .</w:t>
      </w:r>
    </w:p>
    <w:p>
      <w:pPr>
        <w:pStyle w:val="4"/>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дошкольном возрасте необходимо организовать оптимальные условия для дальнейшего формирования учебной активности, развития творческой, инициативной личности ребенка.</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15F69"/>
    <w:rsid w:val="001E1A35"/>
    <w:rsid w:val="00257D41"/>
    <w:rsid w:val="00273179"/>
    <w:rsid w:val="00C902A3"/>
    <w:rsid w:val="00EE0E1E"/>
    <w:rsid w:val="4FDF6A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1363</Words>
  <Characters>7774</Characters>
  <Lines>64</Lines>
  <Paragraphs>18</Paragraphs>
  <TotalTime>0</TotalTime>
  <ScaleCrop>false</ScaleCrop>
  <LinksUpToDate>false</LinksUpToDate>
  <CharactersWithSpaces>9119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2018-01-24T05:39:00Z</dcterms:created>
  <dc:creator>User</dc:creator>
  <cp:lastModifiedBy>dstem</cp:lastModifiedBy>
  <dcterms:modified xsi:type="dcterms:W3CDTF">2018-10-03T12:02:13Z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